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jc w:val="right"/>
        <w:outlineLvl w:val="1"/>
        <w:rPr>
          <w:rFonts w:ascii="Times New Roman" w:hAnsi="Times New Roman" w:cs="Times New Roman"/>
        </w:rPr>
      </w:pPr>
      <w:r>
        <w:rPr>
          <w:rFonts w:cs="Times New Roman" w:ascii="Times New Roman" w:hAnsi="Times New Roman"/>
        </w:rPr>
        <w:t>Приложение 8</w:t>
      </w:r>
    </w:p>
    <w:p>
      <w:pPr>
        <w:pStyle w:val="ConsPlusNormal"/>
        <w:jc w:val="right"/>
        <w:rPr>
          <w:rFonts w:ascii="Times New Roman" w:hAnsi="Times New Roman" w:cs="Times New Roman"/>
        </w:rPr>
      </w:pPr>
      <w:r>
        <w:rPr>
          <w:rFonts w:cs="Times New Roman" w:ascii="Times New Roman" w:hAnsi="Times New Roman"/>
        </w:rPr>
        <w:t>к государственной программе</w:t>
      </w:r>
    </w:p>
    <w:p>
      <w:pPr>
        <w:pStyle w:val="ConsPlusNormal"/>
        <w:jc w:val="righ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"Развитие образования и науки Брянской области"</w:t>
      </w:r>
    </w:p>
    <w:p>
      <w:pPr>
        <w:pStyle w:val="ConsPlusNormal"/>
        <w:jc w:val="both"/>
        <w:rPr>
          <w:rFonts w:ascii="Times New Roman" w:hAnsi="Times New Roman" w:cs="Times New Roman"/>
        </w:rPr>
      </w:pPr>
      <w:r>
        <w:rPr>
          <w:rFonts w:cs="Times New Roman" w:ascii="Times New Roman" w:hAnsi="Times New Roman"/>
        </w:rPr>
      </w:r>
    </w:p>
    <w:p>
      <w:pPr>
        <w:pStyle w:val="ConsPlusTitle"/>
        <w:jc w:val="center"/>
        <w:rPr>
          <w:rFonts w:ascii="Times New Roman" w:hAnsi="Times New Roman" w:cs="Times New Roman"/>
        </w:rPr>
      </w:pPr>
      <w:r>
        <w:rPr>
          <w:rFonts w:cs="Times New Roman" w:ascii="Times New Roman" w:hAnsi="Times New Roman"/>
        </w:rPr>
        <w:t>Порядок</w:t>
      </w:r>
    </w:p>
    <w:p>
      <w:pPr>
        <w:pStyle w:val="ConsPlusTitle"/>
        <w:jc w:val="center"/>
        <w:rPr>
          <w:rFonts w:ascii="Times New Roman" w:hAnsi="Times New Roman" w:cs="Times New Roman"/>
        </w:rPr>
      </w:pPr>
      <w:r>
        <w:rPr>
          <w:rFonts w:cs="Times New Roman" w:ascii="Times New Roman" w:hAnsi="Times New Roman"/>
        </w:rPr>
        <w:t>предоставления субсидий бюджетам муниципальных районов</w:t>
      </w:r>
    </w:p>
    <w:p>
      <w:pPr>
        <w:pStyle w:val="ConsPlusTitle"/>
        <w:jc w:val="center"/>
        <w:rPr>
          <w:rFonts w:ascii="Times New Roman" w:hAnsi="Times New Roman" w:cs="Times New Roman"/>
        </w:rPr>
      </w:pPr>
      <w:r>
        <w:rPr>
          <w:rFonts w:cs="Times New Roman" w:ascii="Times New Roman" w:hAnsi="Times New Roman"/>
        </w:rPr>
        <w:t>(муниципальных округов, городских округов) на капитальный ремонт бассейнов</w:t>
      </w:r>
    </w:p>
    <w:p>
      <w:pPr>
        <w:pStyle w:val="ConsPlusTitle"/>
        <w:jc w:val="center"/>
        <w:rPr>
          <w:rFonts w:ascii="Times New Roman" w:hAnsi="Times New Roman" w:cs="Times New Roman"/>
        </w:rPr>
      </w:pPr>
      <w:r>
        <w:rPr>
          <w:rFonts w:cs="Times New Roman" w:ascii="Times New Roman" w:hAnsi="Times New Roman"/>
        </w:rPr>
        <w:t>муниципальных образовательных организаций Брянской области</w:t>
      </w:r>
    </w:p>
    <w:p>
      <w:pPr>
        <w:pStyle w:val="ConsPlusTitle"/>
        <w:jc w:val="center"/>
        <w:rPr>
          <w:rFonts w:ascii="Times New Roman" w:hAnsi="Times New Roman" w:cs="Times New Roman"/>
        </w:rPr>
      </w:pPr>
      <w:r>
        <w:rPr>
          <w:rFonts w:cs="Times New Roman" w:ascii="Times New Roman" w:hAnsi="Times New Roman"/>
        </w:rPr>
        <w:t xml:space="preserve">в рамках государственной программы </w:t>
      </w:r>
    </w:p>
    <w:p>
      <w:pPr>
        <w:pStyle w:val="ConsPlusTitle"/>
        <w:jc w:val="center"/>
        <w:rPr>
          <w:rFonts w:ascii="Times New Roman" w:hAnsi="Times New Roman" w:cs="Times New Roman"/>
        </w:rPr>
      </w:pPr>
      <w:r>
        <w:rPr>
          <w:rFonts w:cs="Times New Roman" w:ascii="Times New Roman" w:hAnsi="Times New Roman"/>
        </w:rPr>
        <w:t>"Развитие образования и науки Брянской области"</w:t>
      </w:r>
    </w:p>
    <w:p>
      <w:pPr>
        <w:pStyle w:val="Normal"/>
        <w:spacing w:before="0" w:after="1"/>
        <w:rPr>
          <w:rFonts w:ascii="Times New Roman" w:hAnsi="Times New Roman" w:cs="Times New Roman"/>
        </w:rPr>
      </w:pPr>
      <w:r>
        <w:rPr>
          <w:rFonts w:cs="Times New Roman" w:ascii="Times New Roman" w:hAnsi="Times New Roman"/>
        </w:rPr>
      </w:r>
    </w:p>
    <w:p>
      <w:pPr>
        <w:pStyle w:val="ConsPlusNormal"/>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1. Настоящий Порядок устанавливает цели и условия предоставления субсидий бюджетам муниципальных районов (муниципальных округов, городских округов) на капитальный ремонт бассейнов муниципальных образовательных организаций Брянской области в рамках государственной программы "Развитие образования и науки Брянской области" (далее соответственно - субсидии, программа), критерии отбора муниципальных районов (муниципальных округов, городских округов) для предоставления субсидий, порядок отчетности об использовании субсидий, а также критерии оценки эффективности использования муниципальными районами (муниципальными районами, городскими округами) предоставляемых субсидий.</w:t>
      </w:r>
    </w:p>
    <w:p>
      <w:pPr>
        <w:pStyle w:val="ConsPlusNormal"/>
        <w:spacing w:before="220" w:after="0"/>
        <w:ind w:firstLine="540"/>
        <w:jc w:val="both"/>
        <w:rPr>
          <w:rFonts w:ascii="Times New Roman" w:hAnsi="Times New Roman" w:cs="Times New Roman"/>
        </w:rPr>
      </w:pPr>
      <w:bookmarkStart w:id="0" w:name="P11311"/>
      <w:bookmarkEnd w:id="0"/>
      <w:r>
        <w:rPr>
          <w:rFonts w:cs="Times New Roman" w:ascii="Times New Roman" w:hAnsi="Times New Roman"/>
        </w:rPr>
        <w:t>2. Субсидии предоставляются в целях софинансирования выполнения полномочий органов местного самоуправления, связанных с финансовым обеспечением реализации мероприятий, направленных на проведение работ по капитальному ремонту бассейнов муниципальных образовательных организаций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3. Субсидии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w:t>
      </w:r>
      <w:hyperlink w:anchor="P11311">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4. Главным распорядителем средств областного бюджета является департамент образования и науки Брянской области (далее - департамент).</w:t>
      </w:r>
    </w:p>
    <w:p>
      <w:pPr>
        <w:pStyle w:val="ConsPlusNormal"/>
        <w:spacing w:before="220" w:after="0"/>
        <w:ind w:firstLine="540"/>
        <w:jc w:val="both"/>
        <w:rPr>
          <w:rFonts w:ascii="Times New Roman" w:hAnsi="Times New Roman" w:cs="Times New Roman"/>
        </w:rPr>
      </w:pPr>
      <w:r>
        <w:rPr>
          <w:rFonts w:cs="Times New Roman" w:ascii="Times New Roman" w:hAnsi="Times New Roman"/>
        </w:rPr>
        <w:t>5. Общий размер субсидии i-му муниципальному району (муниципальному округу, городскому округу) (S</w:t>
      </w:r>
      <w:r>
        <w:rPr>
          <w:rFonts w:cs="Times New Roman" w:ascii="Times New Roman" w:hAnsi="Times New Roman"/>
          <w:vertAlign w:val="subscript"/>
        </w:rPr>
        <w:t>i</w:t>
      </w:r>
      <w:r>
        <w:rPr>
          <w:rFonts w:cs="Times New Roman" w:ascii="Times New Roman" w:hAnsi="Times New Roman"/>
        </w:rPr>
        <w:t>) определяется по формуле:</w:t>
      </w:r>
    </w:p>
    <w:p>
      <w:pPr>
        <w:pStyle w:val="ConsPlusNormal"/>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mc:AlternateContent>
          <mc:Choice Requires="wps">
            <w:drawing>
              <wp:inline distT="0" distB="0" distL="0" distR="0">
                <wp:extent cx="1638935" cy="495935"/>
                <wp:effectExtent l="0" t="0" r="0" b="0"/>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2"/>
                        <a:stretch/>
                      </pic:blipFill>
                      <pic:spPr>
                        <a:xfrm>
                          <a:off x="0" y="0"/>
                          <a:ext cx="1638360" cy="49536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39.05pt;width:128.95pt;height:38.95pt;v-text-anchor:middle;mso-position-vertical:top" type="shapetype_75">
                <v:imagedata r:id="rId3" o:detectmouseclick="t"/>
                <w10:wrap type="none"/>
                <v:stroke color="#3465a4" joinstyle="round" endcap="flat"/>
              </v:shape>
            </w:pict>
          </mc:Fallback>
        </mc:AlternateContent>
      </w:r>
    </w:p>
    <w:p>
      <w:pPr>
        <w:pStyle w:val="ConsPlusNormal"/>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S</w:t>
      </w:r>
      <w:r>
        <w:rPr>
          <w:rFonts w:cs="Times New Roman" w:ascii="Times New Roman" w:hAnsi="Times New Roman"/>
          <w:vertAlign w:val="subscript"/>
        </w:rPr>
        <w:t>o</w:t>
      </w:r>
      <w:r>
        <w:rPr>
          <w:rFonts w:cs="Times New Roman" w:ascii="Times New Roman" w:hAnsi="Times New Roman"/>
        </w:rPr>
        <w:t xml:space="preserve"> - объем средств, предусмотренный законом об областном бюджете на софинансирование мероприятий муниципальных программ в очередном финансовом году;</w:t>
      </w:r>
    </w:p>
    <w:p>
      <w:pPr>
        <w:pStyle w:val="ConsPlusNormal"/>
        <w:spacing w:before="220" w:after="0"/>
        <w:ind w:firstLine="540"/>
        <w:jc w:val="both"/>
        <w:rPr>
          <w:rFonts w:ascii="Times New Roman" w:hAnsi="Times New Roman" w:cs="Times New Roman"/>
        </w:rPr>
      </w:pPr>
      <w:r>
        <w:rPr>
          <w:rFonts w:cs="Times New Roman" w:ascii="Times New Roman" w:hAnsi="Times New Roman"/>
        </w:rPr>
        <w:t>Zi - объем средств на исполнение мероприятий в i-муниципальном районе (муниципальном округе, городском округе);</w:t>
      </w:r>
    </w:p>
    <w:p>
      <w:pPr>
        <w:pStyle w:val="ConsPlusNormal"/>
        <w:spacing w:before="220" w:after="0"/>
        <w:ind w:firstLine="540"/>
        <w:jc w:val="both"/>
        <w:rPr>
          <w:rFonts w:ascii="Times New Roman" w:hAnsi="Times New Roman" w:cs="Times New Roman"/>
        </w:rPr>
      </w:pPr>
      <w:r>
        <w:rPr>
          <w:rFonts w:cs="Times New Roman" w:ascii="Times New Roman" w:hAnsi="Times New Roman"/>
        </w:rPr>
        <w:t>Y</w:t>
      </w:r>
      <w:r>
        <w:rPr>
          <w:rFonts w:cs="Times New Roman" w:ascii="Times New Roman" w:hAnsi="Times New Roman"/>
          <w:vertAlign w:val="subscript"/>
        </w:rPr>
        <w:t>i</w:t>
      </w:r>
      <w:r>
        <w:rPr>
          <w:rFonts w:cs="Times New Roman" w:ascii="Times New Roman" w:hAnsi="Times New Roman"/>
        </w:rPr>
        <w:t xml:space="preserve"> - предельный уровень софинансирования расходного обязательства i-го муниципального района (городского округа) из областного бюджета, утвержденный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6. Распределение субсидий бюджетам муниципальных районов (муниципальных округов, городских округов) утверждается законом Брянской области об областном бюджете на соответствующий финансовый год и на плановый период. Внесение изменений осуществляется в соответствии с </w:t>
      </w:r>
      <w:hyperlink r:id="rId4">
        <w:r>
          <w:rPr>
            <w:rFonts w:cs="Times New Roman" w:ascii="Times New Roman" w:hAnsi="Times New Roman"/>
          </w:rPr>
          <w:t>Законом</w:t>
        </w:r>
      </w:hyperlink>
      <w:r>
        <w:rPr>
          <w:rFonts w:cs="Times New Roman" w:ascii="Times New Roman" w:hAnsi="Times New Roman"/>
        </w:rPr>
        <w:t xml:space="preserve"> Брянской области "О межбюджетных отношениях в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7. Критериями отбора муниципальных районов (муниципальных округов, городских округов) для предоставления субсидии является:</w:t>
      </w:r>
    </w:p>
    <w:p>
      <w:pPr>
        <w:pStyle w:val="ConsPlusNormal"/>
        <w:spacing w:before="220" w:after="0"/>
        <w:ind w:firstLine="540"/>
        <w:jc w:val="both"/>
        <w:rPr>
          <w:rFonts w:ascii="Times New Roman" w:hAnsi="Times New Roman" w:cs="Times New Roman"/>
        </w:rPr>
      </w:pPr>
      <w:r>
        <w:rPr>
          <w:rFonts w:cs="Times New Roman" w:ascii="Times New Roman" w:hAnsi="Times New Roman"/>
        </w:rPr>
        <w:t>потребность в капитальном ремонте бассейнов муниципальных общеобразовательных организаций;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наличие сметной документации на капитальный ремонт бассейнов муниципальных общеобразовательных организаций, имеющей положительное заключение о достоверности определения сметной стоимости;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акт комиссионного обследования состояния бассейна муниципальной общеобразовательной организации.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8. Субсидии предоставляются при условии: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а) наличия в муниципальном районе (муниципальном округе, городском округе) утвержденной муниципальной программы, включающей в себя мероприятия, предусмотренные пунктом 2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б) наличия в бюджете муниципального района (муниципального округа, городского округа)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в) заключения между департаментом и органом местного самоуправления муниципального района (муниципального округа, городского округа) соглашения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9. Объем бюджетных ассигнований бюджета муниципального района (муниципального округа, городского округа) на финансовое обеспечение расходного обязательства муниципального района (муниципального округа, городского округа), софинансируемого за счет субсидии, утверждается решением представительного органа муниципального района (муниципального округа, городского округа) о местном бюджете (определяется сводной бюджетной росписью бюджета муниципального района (муниципального округа, городского округа)) исходя из необходимости достижения установленных соглашением значений показателей результатов использования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10. Предоставление субсидии осуществляется на основании соглашения, подготовленного и заключенного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(далее - система "Электронный бюджет Брянской области"). В соглашении предусматриваются положения </w:t>
      </w:r>
      <w:hyperlink r:id="rId5">
        <w:r>
          <w:rPr>
            <w:rFonts w:cs="Times New Roman" w:ascii="Times New Roman" w:hAnsi="Times New Roman"/>
          </w:rPr>
          <w:t>пункта 10</w:t>
        </w:r>
      </w:hyperlink>
      <w:r>
        <w:rPr>
          <w:rFonts w:cs="Times New Roman" w:ascii="Times New Roman" w:hAnsi="Times New Roman"/>
        </w:rPr>
        <w:t xml:space="preserve">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При заключении соглашения орган местного самоуправления муниципального района (муниципального округа, городского округа) представляет в департамент документы, подтверждающие исполнение условий предоставления субсидии, предусмотренных </w:t>
      </w:r>
      <w:hyperlink r:id="rId6">
        <w:r>
          <w:rPr>
            <w:rFonts w:cs="Times New Roman" w:ascii="Times New Roman" w:hAnsi="Times New Roman"/>
          </w:rPr>
          <w:t>подпунктами "а"</w:t>
        </w:r>
      </w:hyperlink>
      <w:r>
        <w:rPr>
          <w:rFonts w:cs="Times New Roman" w:ascii="Times New Roman" w:hAnsi="Times New Roman"/>
        </w:rPr>
        <w:t xml:space="preserve">, </w:t>
      </w:r>
      <w:hyperlink r:id="rId7">
        <w:r>
          <w:rPr>
            <w:rFonts w:cs="Times New Roman" w:ascii="Times New Roman" w:hAnsi="Times New Roman"/>
          </w:rPr>
          <w:t>"б" пункта 8</w:t>
        </w:r>
      </w:hyperlink>
      <w:r>
        <w:rPr>
          <w:rFonts w:cs="Times New Roman" w:ascii="Times New Roman" w:hAnsi="Times New Roman"/>
        </w:rPr>
        <w:t xml:space="preserve">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11. Соглашения и дополнительные соглашения к соглашению, предусматривающие внесение в него изменений и его расторжение, заключаются в системе «Электронный бюджет Брянской области» в соответствии с типовыми формами, утвержденными приказом департамента финансов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12. Внесение в соглашение изменений, предусматривающих ухудшение значения результата использования субсидий, а также увеличение сроков реализации предусмотренных соглашением мероприятий не допускается, за исключением случаев, изменения значений показателей (индикаторов) государственной программы, а также случая сокращения размера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13. Перечисление субсидий осуществляется в установленном порядке на счета,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(муниципальных округов, городских округов).</w:t>
      </w:r>
    </w:p>
    <w:p>
      <w:pPr>
        <w:pStyle w:val="ConsPlusNormal"/>
        <w:spacing w:before="220" w:after="0"/>
        <w:ind w:firstLine="540"/>
        <w:jc w:val="both"/>
        <w:rPr>
          <w:rFonts w:ascii="Times New Roman" w:hAnsi="Times New Roman" w:cs="Times New Roman"/>
        </w:rPr>
      </w:pPr>
      <w:bookmarkStart w:id="1" w:name="P11334"/>
      <w:bookmarkEnd w:id="1"/>
      <w:r>
        <w:rPr>
          <w:rFonts w:cs="Times New Roman" w:ascii="Times New Roman" w:hAnsi="Times New Roman"/>
        </w:rPr>
        <w:t xml:space="preserve">14. Эффективность использования муниципальными районами (муниципальными округами, городскими округами) предоставленных субсидий осуществляется на основании сравнения планируемых и достигнутых значений результатов использования субсидий муниципальными районами (муниципальными округами, городскими округами). Результатом использования субсидии является количество организаций, в которых выполнены мероприятия, указанные в </w:t>
      </w:r>
      <w:hyperlink w:anchor="P11311">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15. Оценка эффективности использования муниципальным районом (муниципальным округом, городским округом) субсидии осуществляется исходя из достигнутого значения результата использования субсидии, предусмотренного </w:t>
      </w:r>
      <w:hyperlink w:anchor="P11334">
        <w:r>
          <w:rPr>
            <w:rFonts w:cs="Times New Roman" w:ascii="Times New Roman" w:hAnsi="Times New Roman"/>
          </w:rPr>
          <w:t>пунктом 14</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16. Орган местного самоуправления муниципального района (муниципального округа, городского округа) размещает в сроки и порядке, установленные соглашением, в системе «Электронный бюджет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отчет о расходах бюджета муниципального района (муниципального округа, городского округа), в целях софинансирования которых предоставлена субсидия;</w:t>
      </w:r>
    </w:p>
    <w:p>
      <w:pPr>
        <w:pStyle w:val="ConsPlusNormal"/>
        <w:spacing w:before="220" w:after="0"/>
        <w:ind w:firstLine="540"/>
        <w:jc w:val="both"/>
        <w:rPr>
          <w:rFonts w:ascii="Times New Roman" w:hAnsi="Times New Roman" w:cs="Times New Roman"/>
        </w:rPr>
      </w:pPr>
      <w:r>
        <w:rPr>
          <w:rFonts w:cs="Times New Roman" w:ascii="Times New Roman" w:hAnsi="Times New Roman"/>
        </w:rPr>
        <w:t>отчет о достижении значения результата использования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17. В случае если муниципальным районом (муниципальным округом, городским округом) по состоянию на 31 декабря года предоставления субсидии допущены нарушения обязательств, предусмотренных соглашением, в соответствии с подпунктом «б(1)» пункта 10 Правил формирования,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и срок возврата указанных средств определяются в соответствии с пунктами 16 - 18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Освобождение муниципального района (муниципального округа, городского округа) от применения мер ответственности, предусмотренных пунктом 16 Правил формирования, предоставления и распределения субсидий, в том числе возврата средств в доход областного бюджета, осуществляется в соответствии с пунктом 20 указанных Правил.</w:t>
      </w:r>
    </w:p>
    <w:p>
      <w:pPr>
        <w:pStyle w:val="ConsPlusNormal"/>
        <w:spacing w:before="220" w:after="0"/>
        <w:ind w:firstLine="540"/>
        <w:jc w:val="both"/>
        <w:rPr>
          <w:rFonts w:ascii="Times New Roman" w:hAnsi="Times New Roman" w:cs="Times New Roman"/>
        </w:rPr>
      </w:pPr>
      <w:bookmarkStart w:id="2" w:name="_GoBack"/>
      <w:bookmarkEnd w:id="2"/>
      <w:r>
        <w:rPr>
          <w:rFonts w:cs="Times New Roman" w:ascii="Times New Roman" w:hAnsi="Times New Roman"/>
        </w:rPr>
        <w:t xml:space="preserve">18. В случае экономии средств областного бюджета, предусмотренных на исполнение расходных обязательств муниципального района (муниципального округа, городского округа), указанных в </w:t>
      </w:r>
      <w:hyperlink w:anchor="P11311">
        <w:r>
          <w:rPr>
            <w:rFonts w:cs="Times New Roman" w:ascii="Times New Roman" w:hAnsi="Times New Roman"/>
          </w:rPr>
          <w:t>пункте 2</w:t>
        </w:r>
      </w:hyperlink>
      <w:r>
        <w:rPr>
          <w:rFonts w:cs="Times New Roman" w:ascii="Times New Roman" w:hAnsi="Times New Roman"/>
        </w:rPr>
        <w:t xml:space="preserve"> настоящего Порядка,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районом (муниципальным округом, городским округом) на цели, указанные в пункте 2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19. В случае нецелевого использования субсидии муниципальным районом (муниципальным округом, городским округом)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20. Контроль за соблюдением муниципальным районом (муниципальным округом, городским округом) условий предоставления и расходования субсидии осуществляется департаментом.</w:t>
      </w:r>
    </w:p>
    <w:p>
      <w:pPr>
        <w:pStyle w:val="ConsPlusNormal"/>
        <w:jc w:val="both"/>
        <w:rPr>
          <w:rFonts w:ascii="Times New Roman" w:hAnsi="Times New Roman" w:cs="Times New Roman"/>
        </w:rPr>
      </w:pPr>
      <w:r>
        <w:rPr/>
      </w:r>
    </w:p>
    <w:sectPr>
      <w:type w:val="nextPage"/>
      <w:pgSz w:w="11906" w:h="16838"/>
      <w:pgMar w:left="1701" w:right="851" w:header="0" w:top="851" w:footer="0" w:bottom="851"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 w:customStyle="1">
    <w:name w:val="ConsPlusNormal"/>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2309da"/>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2309da"/>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2309da"/>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2309da"/>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consultantplus://offline/ref=96459022ABE20A108D85BEE2D3621143054DC5C34EB627EA0B6C35846B7A5EF7567D56887C1E679CEB92C6F040A7EEAEs8qEF" TargetMode="External"/><Relationship Id="rId5" Type="http://schemas.openxmlformats.org/officeDocument/2006/relationships/hyperlink" Target="consultantplus://offline/ref=96459022ABE20A108D85BEE2D3621143054DC5C34EB520EB0F6C35846B7A5EF7567D569A7C466B9DE88CC3F055F1BFE8DB7976766ECB33022F6DD0sAq0F" TargetMode="External"/><Relationship Id="rId6" Type="http://schemas.openxmlformats.org/officeDocument/2006/relationships/hyperlink" Target="consultantplus://offline/ref=96459022ABE20A108D85BEE2D3621143054DC5C34EB520EB0F6C35846B7A5EF7567D569A7C466B9DE88CC4F455F1BFE8DB7976766ECB33022F6DD0sAq0F" TargetMode="External"/><Relationship Id="rId7" Type="http://schemas.openxmlformats.org/officeDocument/2006/relationships/hyperlink" Target="consultantplus://offline/ref=96459022ABE20A108D85BEE2D3621143054DC5C34EB520EB0F6C35846B7A5EF7567D569A7C466B9DE88CC4F555F1BFE8DB7976766ECB33022F6DD0sAq0F" TargetMode="Externa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LibreOffice/7.0.1.2$Windows_X86_64 LibreOffice_project/7cbcfc562f6eb6708b5ff7d7397325de9e764452</Application>
  <Pages>3</Pages>
  <Words>1073</Words>
  <Characters>8778</Characters>
  <CharactersWithSpaces>9811</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2021-10-01T14:23:00Z</dcterms:created>
  <dc:creator>User</dc:creator>
  <dc:description/>
  <dc:language>ru-RU</dc:language>
  <cp:lastModifiedBy>User</cp:lastModifiedBy>
  <dcterms:modified xsi:type="dcterms:W3CDTF">2021-10-02T11:06:00Z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